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128"/>
        <w:gridCol w:w="5504"/>
      </w:tblGrid>
      <w:tr w:rsidR="0036285B" w:rsidRPr="001744AB" w14:paraId="34583380" w14:textId="77777777" w:rsidTr="00F57FD8">
        <w:tc>
          <w:tcPr>
            <w:tcW w:w="5128" w:type="dxa"/>
            <w:shd w:val="clear" w:color="auto" w:fill="F4B083" w:themeFill="accent2" w:themeFillTint="99"/>
          </w:tcPr>
          <w:p w14:paraId="1F951F69" w14:textId="1F0DB837" w:rsidR="0036285B" w:rsidRPr="001744AB" w:rsidRDefault="0036285B" w:rsidP="001744A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CARACTERIZACION DEL PROCESO</w:t>
            </w:r>
          </w:p>
        </w:tc>
        <w:tc>
          <w:tcPr>
            <w:tcW w:w="5504" w:type="dxa"/>
            <w:shd w:val="clear" w:color="auto" w:fill="F4B083" w:themeFill="accent2" w:themeFillTint="99"/>
          </w:tcPr>
          <w:p w14:paraId="36E2C2CE" w14:textId="3DCA1A4C" w:rsidR="0036285B" w:rsidRPr="001744AB" w:rsidRDefault="0036285B" w:rsidP="00174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NOMBRE: GESTION ESTRATEGICA</w:t>
            </w:r>
          </w:p>
        </w:tc>
      </w:tr>
      <w:tr w:rsidR="0036285B" w14:paraId="485BD336" w14:textId="77777777" w:rsidTr="00F57FD8">
        <w:tc>
          <w:tcPr>
            <w:tcW w:w="5128" w:type="dxa"/>
          </w:tcPr>
          <w:p w14:paraId="3E1FBAF3" w14:textId="77777777" w:rsidR="001744AB" w:rsidRPr="00F22EE9" w:rsidRDefault="001744AB" w:rsidP="00174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OBJETIVO:</w:t>
            </w:r>
          </w:p>
          <w:p w14:paraId="36BC8719" w14:textId="48E30D05" w:rsidR="0036285B" w:rsidRPr="001744AB" w:rsidRDefault="001744AB" w:rsidP="00174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 w:rsidRPr="00174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rindar soluciones con un excelente servicio, siempre de la mano de la agilidad y avanzada tecnología, buscando satisfacer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las</w:t>
            </w:r>
            <w:r w:rsidRPr="00174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expectativas y necesidades mediante una mejora continua de nuestros procesos y servicios.</w:t>
            </w:r>
          </w:p>
        </w:tc>
        <w:tc>
          <w:tcPr>
            <w:tcW w:w="5504" w:type="dxa"/>
          </w:tcPr>
          <w:p w14:paraId="4697376A" w14:textId="77777777" w:rsidR="0036285B" w:rsidRPr="00F22EE9" w:rsidRDefault="0017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ALCANCE:</w:t>
            </w:r>
          </w:p>
          <w:p w14:paraId="79979C80" w14:textId="30BA3F51" w:rsidR="001744AB" w:rsidRPr="001744AB" w:rsidRDefault="001744AB" w:rsidP="00174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Desde nuestros</w:t>
            </w:r>
            <w:r w:rsidRPr="001744AB">
              <w:rPr>
                <w:rFonts w:ascii="Times New Roman" w:hAnsi="Times New Roman" w:cs="Times New Roman"/>
                <w:sz w:val="24"/>
                <w:szCs w:val="24"/>
              </w:rPr>
              <w:t xml:space="preserve"> 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propuestos</w:t>
            </w:r>
            <w:r w:rsidRPr="00174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r w:rsidR="00F22EE9">
              <w:rPr>
                <w:rFonts w:ascii="Times New Roman" w:hAnsi="Times New Roman" w:cs="Times New Roman"/>
                <w:sz w:val="24"/>
                <w:szCs w:val="24"/>
              </w:rPr>
              <w:t>cuales,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4AB">
              <w:rPr>
                <w:rFonts w:ascii="Times New Roman" w:hAnsi="Times New Roman" w:cs="Times New Roman"/>
                <w:sz w:val="24"/>
                <w:szCs w:val="24"/>
              </w:rPr>
              <w:t xml:space="preserve">enfocados a lograr la excelencia en la prestación de los servicios notariales, hasta la verificación del cumplimiento de </w:t>
            </w:r>
            <w:r w:rsidR="00F22EE9" w:rsidRPr="001744AB">
              <w:rPr>
                <w:rFonts w:ascii="Times New Roman" w:hAnsi="Times New Roman" w:cs="Times New Roman"/>
                <w:sz w:val="24"/>
                <w:szCs w:val="24"/>
              </w:rPr>
              <w:t>estos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285B" w:rsidRPr="001744AB" w14:paraId="59A836BB" w14:textId="77777777" w:rsidTr="00F57FD8">
        <w:tc>
          <w:tcPr>
            <w:tcW w:w="5128" w:type="dxa"/>
          </w:tcPr>
          <w:p w14:paraId="6F7CDFC8" w14:textId="77777777" w:rsidR="0036285B" w:rsidRPr="001744AB" w:rsidRDefault="0017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RESPONSABLE:</w:t>
            </w:r>
          </w:p>
          <w:p w14:paraId="05C28A13" w14:textId="0151F4D0" w:rsidR="001744AB" w:rsidRPr="001744AB" w:rsidRDefault="0017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AB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  <w:r w:rsidR="00F22EE9" w:rsidRPr="001744AB">
              <w:rPr>
                <w:rFonts w:ascii="Times New Roman" w:hAnsi="Times New Roman" w:cs="Times New Roman"/>
                <w:sz w:val="24"/>
                <w:szCs w:val="24"/>
              </w:rPr>
              <w:t>Raúl</w:t>
            </w:r>
            <w:r w:rsidRPr="001744AB">
              <w:rPr>
                <w:rFonts w:ascii="Times New Roman" w:hAnsi="Times New Roman" w:cs="Times New Roman"/>
                <w:sz w:val="24"/>
                <w:szCs w:val="24"/>
              </w:rPr>
              <w:t xml:space="preserve"> Polania Fierro (NOTARIO)</w:t>
            </w:r>
          </w:p>
        </w:tc>
        <w:tc>
          <w:tcPr>
            <w:tcW w:w="5504" w:type="dxa"/>
          </w:tcPr>
          <w:p w14:paraId="2349651B" w14:textId="77777777" w:rsidR="001744AB" w:rsidRDefault="00174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PARTICIPANTES:</w:t>
            </w:r>
          </w:p>
          <w:p w14:paraId="1337AB02" w14:textId="284294C0" w:rsidR="00F22EE9" w:rsidRPr="00F22EE9" w:rsidRDefault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E9">
              <w:rPr>
                <w:rFonts w:ascii="Times New Roman" w:hAnsi="Times New Roman" w:cs="Times New Roman"/>
                <w:sz w:val="24"/>
                <w:szCs w:val="24"/>
              </w:rPr>
              <w:t>Funcionarios</w:t>
            </w:r>
          </w:p>
        </w:tc>
      </w:tr>
      <w:tr w:rsidR="0036285B" w:rsidRPr="00F22EE9" w14:paraId="224CD749" w14:textId="77777777" w:rsidTr="00F57FD8">
        <w:tc>
          <w:tcPr>
            <w:tcW w:w="5128" w:type="dxa"/>
          </w:tcPr>
          <w:p w14:paraId="335ED3C6" w14:textId="57EF2C3E" w:rsidR="0036285B" w:rsidRDefault="00F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FACTORES CLAVES DEL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ÉXITO:</w:t>
            </w:r>
          </w:p>
          <w:p w14:paraId="504E61EC" w14:textId="63B36985" w:rsidR="00F22EE9" w:rsidRPr="00C0571A" w:rsidRDefault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Respeto:</w:t>
            </w:r>
            <w:r w:rsidR="00C05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571A">
              <w:rPr>
                <w:rFonts w:ascii="Times New Roman" w:hAnsi="Times New Roman" w:cs="Times New Roman"/>
                <w:sz w:val="24"/>
                <w:szCs w:val="24"/>
              </w:rPr>
              <w:t>implementar en nuestros colaboradores el Respeto para con nuestros usuarios</w:t>
            </w:r>
            <w:r w:rsidR="005D3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71A">
              <w:rPr>
                <w:rFonts w:ascii="Times New Roman" w:hAnsi="Times New Roman" w:cs="Times New Roman"/>
                <w:sz w:val="24"/>
                <w:szCs w:val="24"/>
              </w:rPr>
              <w:t xml:space="preserve"> como para </w:t>
            </w:r>
            <w:r w:rsidR="005D3D6F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r w:rsidR="00C0571A">
              <w:rPr>
                <w:rFonts w:ascii="Times New Roman" w:hAnsi="Times New Roman" w:cs="Times New Roman"/>
                <w:sz w:val="24"/>
                <w:szCs w:val="24"/>
              </w:rPr>
              <w:t xml:space="preserve"> mismos, todo esto con el fin de crear un ambiente de trabajo psicosocial, formidable, para prestar un excelente servicio en nuestra notaria y que por ende </w:t>
            </w:r>
            <w:r w:rsidR="005D3D6F">
              <w:rPr>
                <w:rFonts w:ascii="Times New Roman" w:hAnsi="Times New Roman" w:cs="Times New Roman"/>
                <w:sz w:val="24"/>
                <w:szCs w:val="24"/>
              </w:rPr>
              <w:t>nuestros clientes</w:t>
            </w:r>
            <w:r w:rsidR="00C0571A">
              <w:rPr>
                <w:rFonts w:ascii="Times New Roman" w:hAnsi="Times New Roman" w:cs="Times New Roman"/>
                <w:sz w:val="24"/>
                <w:szCs w:val="24"/>
              </w:rPr>
              <w:t xml:space="preserve"> lleven a finalidad sus procesos con satisfacción. </w:t>
            </w:r>
          </w:p>
          <w:p w14:paraId="02FAA15C" w14:textId="2D71E518" w:rsidR="00F22EE9" w:rsidRPr="005D3D6F" w:rsidRDefault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Amabilidad:</w:t>
            </w:r>
            <w:r w:rsidR="005D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3D6F">
              <w:rPr>
                <w:rFonts w:ascii="Times New Roman" w:hAnsi="Times New Roman" w:cs="Times New Roman"/>
                <w:sz w:val="24"/>
                <w:szCs w:val="24"/>
              </w:rPr>
              <w:t>concientizar a nuestros colaboradores de tener una actitud adecuada para con nuestros clientes, ya que ser amable, educado, y atender a nuestros clientes con una sonrisa propiciara un ambiente cómodo.</w:t>
            </w:r>
          </w:p>
          <w:p w14:paraId="1491FEE0" w14:textId="3FEB83BC" w:rsidR="00EC6BE4" w:rsidRPr="000229B7" w:rsidRDefault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Trabajo en Equipo:</w:t>
            </w:r>
            <w:r w:rsidR="005D3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29B7">
              <w:rPr>
                <w:rFonts w:ascii="Times New Roman" w:hAnsi="Times New Roman" w:cs="Times New Roman"/>
                <w:sz w:val="24"/>
                <w:szCs w:val="24"/>
              </w:rPr>
              <w:t>fomentar en nuestro personal la cooperación utilizando sus habilidades individuales más allá de los conflictos personales que pudiera haber</w:t>
            </w:r>
            <w:r w:rsidR="00EC6BE4">
              <w:rPr>
                <w:rFonts w:ascii="Times New Roman" w:hAnsi="Times New Roman" w:cs="Times New Roman"/>
                <w:sz w:val="24"/>
                <w:szCs w:val="24"/>
              </w:rPr>
              <w:t xml:space="preserve"> a nivel personal</w:t>
            </w:r>
            <w:r w:rsidR="0002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876F5" w14:textId="158E3502" w:rsidR="00F22EE9" w:rsidRPr="000F46D1" w:rsidRDefault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Transparencia:</w:t>
            </w:r>
            <w:r w:rsidR="000F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46D1">
              <w:rPr>
                <w:rFonts w:ascii="Times New Roman" w:hAnsi="Times New Roman" w:cs="Times New Roman"/>
                <w:sz w:val="24"/>
                <w:szCs w:val="24"/>
              </w:rPr>
              <w:t xml:space="preserve">En nuestra notaria brindaremos en cada uno de nuestros servicios un actuar ético en cada trámite, que permita generar confianza en nuestros usuarios y mejorar la </w:t>
            </w:r>
            <w:r w:rsidR="00DA2BA9">
              <w:rPr>
                <w:rFonts w:ascii="Times New Roman" w:hAnsi="Times New Roman" w:cs="Times New Roman"/>
                <w:sz w:val="24"/>
                <w:szCs w:val="24"/>
              </w:rPr>
              <w:t>conexión e incrementar una competitividad laboral.</w:t>
            </w:r>
          </w:p>
        </w:tc>
        <w:tc>
          <w:tcPr>
            <w:tcW w:w="5504" w:type="dxa"/>
          </w:tcPr>
          <w:p w14:paraId="66A148F1" w14:textId="056E9673" w:rsidR="0036285B" w:rsidRDefault="00F2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SEGUIMIENTO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E8E6D40" w14:textId="39022849" w:rsidR="005D3D6F" w:rsidRDefault="005D3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05210" w14:textId="77777777" w:rsidR="005D3D6F" w:rsidRDefault="005D3D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9E0F6" w14:textId="36B3A49A" w:rsidR="00034733" w:rsidRDefault="00F22EE9" w:rsidP="00CB32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C6">
              <w:rPr>
                <w:rFonts w:ascii="Times New Roman" w:hAnsi="Times New Roman" w:cs="Times New Roman"/>
                <w:sz w:val="24"/>
                <w:szCs w:val="24"/>
              </w:rPr>
              <w:t xml:space="preserve">Se realizarán mediante procesos </w:t>
            </w:r>
            <w:r w:rsidR="00034733" w:rsidRPr="00CB32C6">
              <w:rPr>
                <w:rFonts w:ascii="Times New Roman" w:hAnsi="Times New Roman" w:cs="Times New Roman"/>
                <w:sz w:val="24"/>
                <w:szCs w:val="24"/>
              </w:rPr>
              <w:t xml:space="preserve">de seguimiento </w:t>
            </w:r>
            <w:r w:rsidRPr="00CB32C6">
              <w:rPr>
                <w:rFonts w:ascii="Times New Roman" w:hAnsi="Times New Roman" w:cs="Times New Roman"/>
                <w:sz w:val="24"/>
                <w:szCs w:val="24"/>
              </w:rPr>
              <w:t xml:space="preserve">como </w:t>
            </w:r>
            <w:r w:rsidR="00034733" w:rsidRPr="00CB32C6">
              <w:rPr>
                <w:rFonts w:ascii="Times New Roman" w:hAnsi="Times New Roman" w:cs="Times New Roman"/>
                <w:sz w:val="24"/>
                <w:szCs w:val="24"/>
              </w:rPr>
              <w:t>peticiones, quejas y reclamos.</w:t>
            </w:r>
          </w:p>
          <w:p w14:paraId="05B405E8" w14:textId="5FE6F2F5" w:rsidR="00034733" w:rsidRDefault="00034733" w:rsidP="00CB32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C6">
              <w:rPr>
                <w:rFonts w:ascii="Times New Roman" w:hAnsi="Times New Roman" w:cs="Times New Roman"/>
                <w:sz w:val="24"/>
                <w:szCs w:val="24"/>
              </w:rPr>
              <w:t xml:space="preserve">Evaluaciones </w:t>
            </w:r>
            <w:r w:rsidR="00CB32C6" w:rsidRPr="00CB32C6">
              <w:rPr>
                <w:rFonts w:ascii="Times New Roman" w:hAnsi="Times New Roman" w:cs="Times New Roman"/>
                <w:sz w:val="24"/>
                <w:szCs w:val="24"/>
              </w:rPr>
              <w:t>psicodinámicas</w:t>
            </w:r>
            <w:r w:rsidRPr="00CB32C6">
              <w:rPr>
                <w:rFonts w:ascii="Times New Roman" w:hAnsi="Times New Roman" w:cs="Times New Roman"/>
                <w:sz w:val="24"/>
                <w:szCs w:val="24"/>
              </w:rPr>
              <w:t xml:space="preserve"> que permitan medir la satisfacción de los usuarios con el servicio prestado.</w:t>
            </w:r>
          </w:p>
          <w:p w14:paraId="6808525E" w14:textId="756A376F" w:rsidR="00F22EE9" w:rsidRPr="00CB32C6" w:rsidRDefault="00034733" w:rsidP="00CB32C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C6">
              <w:rPr>
                <w:rFonts w:ascii="Times New Roman" w:hAnsi="Times New Roman" w:cs="Times New Roman"/>
                <w:sz w:val="24"/>
                <w:szCs w:val="24"/>
              </w:rPr>
              <w:t>Así mismo la constante evaluación del cumplimiento de los objetivos propuestos.</w:t>
            </w:r>
          </w:p>
        </w:tc>
      </w:tr>
    </w:tbl>
    <w:p w14:paraId="3AE85A1B" w14:textId="71E8D2BA" w:rsidR="00F57FD8" w:rsidRDefault="00F57FD8"/>
    <w:p w14:paraId="0BE92BCD" w14:textId="12F74B02" w:rsidR="00F57FD8" w:rsidRPr="00F57FD8" w:rsidRDefault="00F57FD8" w:rsidP="00F57FD8">
      <w:pPr>
        <w:pStyle w:val="Prrafodelista"/>
        <w:numPr>
          <w:ilvl w:val="0"/>
          <w:numId w:val="1"/>
        </w:numPr>
        <w:rPr>
          <w:b/>
          <w:bCs/>
        </w:rPr>
      </w:pPr>
      <w:r w:rsidRPr="00F57FD8">
        <w:rPr>
          <w:b/>
          <w:bCs/>
        </w:rPr>
        <w:t>CONTENIDO</w:t>
      </w:r>
    </w:p>
    <w:tbl>
      <w:tblPr>
        <w:tblW w:w="10680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35"/>
        <w:gridCol w:w="4890"/>
      </w:tblGrid>
      <w:tr w:rsidR="00F57FD8" w14:paraId="099ACD70" w14:textId="77777777" w:rsidTr="00F57FD8">
        <w:trPr>
          <w:cantSplit/>
          <w:trHeight w:val="230"/>
        </w:trPr>
        <w:tc>
          <w:tcPr>
            <w:tcW w:w="2955" w:type="dxa"/>
            <w:shd w:val="clear" w:color="auto" w:fill="F4B083" w:themeFill="accent2" w:themeFillTint="99"/>
          </w:tcPr>
          <w:p w14:paraId="6AB98246" w14:textId="77777777" w:rsidR="00F57FD8" w:rsidRDefault="00F57FD8" w:rsidP="00E126BB">
            <w:pPr>
              <w:ind w:hanging="2"/>
            </w:pPr>
            <w:r>
              <w:rPr>
                <w:b/>
              </w:rPr>
              <w:t>PROVEEDOR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69C79E61" w14:textId="77777777" w:rsidR="00F57FD8" w:rsidRDefault="00F57FD8" w:rsidP="00E126BB">
            <w:pPr>
              <w:ind w:hanging="2"/>
              <w:jc w:val="center"/>
            </w:pPr>
            <w:r>
              <w:rPr>
                <w:b/>
              </w:rPr>
              <w:t>ENTRADAS</w:t>
            </w:r>
          </w:p>
        </w:tc>
        <w:tc>
          <w:tcPr>
            <w:tcW w:w="4890" w:type="dxa"/>
            <w:shd w:val="clear" w:color="auto" w:fill="F4B083" w:themeFill="accent2" w:themeFillTint="99"/>
          </w:tcPr>
          <w:p w14:paraId="2A13DF1C" w14:textId="77777777" w:rsidR="00F57FD8" w:rsidRDefault="00F57FD8" w:rsidP="00E126BB">
            <w:pPr>
              <w:ind w:hanging="2"/>
              <w:jc w:val="center"/>
            </w:pPr>
            <w:r>
              <w:rPr>
                <w:b/>
              </w:rPr>
              <w:t>SALIDAS</w:t>
            </w:r>
          </w:p>
        </w:tc>
      </w:tr>
      <w:tr w:rsidR="00F57FD8" w14:paraId="0E743737" w14:textId="77777777" w:rsidTr="00F57FD8">
        <w:trPr>
          <w:cantSplit/>
          <w:trHeight w:val="983"/>
        </w:trPr>
        <w:tc>
          <w:tcPr>
            <w:tcW w:w="2955" w:type="dxa"/>
          </w:tcPr>
          <w:p w14:paraId="12C7E49B" w14:textId="77777777" w:rsidR="00F57FD8" w:rsidRDefault="00F57FD8" w:rsidP="00E126BB">
            <w:pPr>
              <w:numPr>
                <w:ilvl w:val="0"/>
                <w:numId w:val="5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Superintendencia de Notariado y registro</w:t>
            </w:r>
          </w:p>
          <w:p w14:paraId="1999DA83" w14:textId="77777777" w:rsidR="00F57FD8" w:rsidRDefault="00F57FD8" w:rsidP="00E126BB">
            <w:pPr>
              <w:ind w:hanging="2"/>
            </w:pPr>
          </w:p>
        </w:tc>
        <w:tc>
          <w:tcPr>
            <w:tcW w:w="2835" w:type="dxa"/>
          </w:tcPr>
          <w:p w14:paraId="1C5A989D" w14:textId="0EB80D21" w:rsidR="00F57FD8" w:rsidRPr="00F57FD8" w:rsidRDefault="00F57FD8" w:rsidP="00F57FD8">
            <w:pPr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Marco Legal (Decretos, Resoluciones, Circulares, instructivos, comunicaciones)</w:t>
            </w:r>
          </w:p>
        </w:tc>
        <w:tc>
          <w:tcPr>
            <w:tcW w:w="4890" w:type="dxa"/>
          </w:tcPr>
          <w:p w14:paraId="5A9D6F70" w14:textId="43256E19" w:rsidR="00F57FD8" w:rsidRPr="00F57FD8" w:rsidRDefault="00F57FD8" w:rsidP="00F57FD8">
            <w:pPr>
              <w:ind w:hanging="2"/>
              <w:jc w:val="center"/>
            </w:pPr>
            <w:r>
              <w:t>Plan Estratégico (Misión, Visión, Política de calidad, Objetivos, Estrategias)</w:t>
            </w:r>
          </w:p>
        </w:tc>
      </w:tr>
      <w:tr w:rsidR="00F57FD8" w14:paraId="56785A50" w14:textId="77777777" w:rsidTr="00F57FD8">
        <w:trPr>
          <w:cantSplit/>
          <w:trHeight w:val="983"/>
        </w:trPr>
        <w:tc>
          <w:tcPr>
            <w:tcW w:w="2955" w:type="dxa"/>
          </w:tcPr>
          <w:p w14:paraId="3E0F0285" w14:textId="3C42D983" w:rsidR="00F57FD8" w:rsidRDefault="00F57FD8" w:rsidP="00F57FD8">
            <w:pPr>
              <w:numPr>
                <w:ilvl w:val="0"/>
                <w:numId w:val="5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lastRenderedPageBreak/>
              <w:t>Oficina de Instrumentos Públicos</w:t>
            </w:r>
          </w:p>
        </w:tc>
        <w:tc>
          <w:tcPr>
            <w:tcW w:w="2835" w:type="dxa"/>
          </w:tcPr>
          <w:p w14:paraId="60E0751E" w14:textId="77777777" w:rsidR="00F57FD8" w:rsidRDefault="00F57FD8" w:rsidP="00E126BB">
            <w:pPr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Información del inmueble para la elaboración de la escritura</w:t>
            </w:r>
          </w:p>
        </w:tc>
        <w:tc>
          <w:tcPr>
            <w:tcW w:w="4890" w:type="dxa"/>
          </w:tcPr>
          <w:p w14:paraId="1DF9E0B5" w14:textId="77777777" w:rsidR="00F57FD8" w:rsidRDefault="00F57FD8" w:rsidP="00E126BB">
            <w:pPr>
              <w:ind w:hanging="2"/>
            </w:pPr>
            <w:r>
              <w:t>Estructura Organizacional por procesos</w:t>
            </w:r>
          </w:p>
          <w:p w14:paraId="0958831B" w14:textId="6B9F3CA5" w:rsidR="00F57FD8" w:rsidRDefault="00F57FD8" w:rsidP="00F5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F57FD8" w14:paraId="320C4D53" w14:textId="77777777" w:rsidTr="00F57FD8">
        <w:trPr>
          <w:cantSplit/>
          <w:trHeight w:val="370"/>
        </w:trPr>
        <w:tc>
          <w:tcPr>
            <w:tcW w:w="2955" w:type="dxa"/>
          </w:tcPr>
          <w:p w14:paraId="622DA346" w14:textId="77777777" w:rsidR="00F57FD8" w:rsidRDefault="00F57FD8" w:rsidP="00E126BB">
            <w:pPr>
              <w:widowControl w:val="0"/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Catastro</w:t>
            </w:r>
          </w:p>
        </w:tc>
        <w:tc>
          <w:tcPr>
            <w:tcW w:w="2835" w:type="dxa"/>
          </w:tcPr>
          <w:p w14:paraId="51D22EC2" w14:textId="43BC546F" w:rsidR="00F57FD8" w:rsidRDefault="00F57FD8" w:rsidP="00F57FD8">
            <w:pPr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Expedición de documentos para autorización de escritura (paz y salvo de impuesto predial y valorización, y Departamentales).</w:t>
            </w:r>
          </w:p>
        </w:tc>
        <w:tc>
          <w:tcPr>
            <w:tcW w:w="4890" w:type="dxa"/>
          </w:tcPr>
          <w:p w14:paraId="0758A77D" w14:textId="77777777" w:rsidR="00F57FD8" w:rsidRDefault="00F57FD8" w:rsidP="00E126BB">
            <w:pPr>
              <w:ind w:hanging="2"/>
              <w:jc w:val="center"/>
            </w:pPr>
            <w:r>
              <w:t>Cuadro integrado de mando</w:t>
            </w:r>
          </w:p>
          <w:p w14:paraId="6F1E262C" w14:textId="77777777" w:rsidR="00F57FD8" w:rsidRDefault="00F57FD8" w:rsidP="00F5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F57FD8" w14:paraId="0CCE8E40" w14:textId="77777777" w:rsidTr="00F57FD8">
        <w:trPr>
          <w:cantSplit/>
          <w:trHeight w:val="945"/>
        </w:trPr>
        <w:tc>
          <w:tcPr>
            <w:tcW w:w="2955" w:type="dxa"/>
          </w:tcPr>
          <w:p w14:paraId="1CFF361B" w14:textId="77777777" w:rsidR="00F57FD8" w:rsidRDefault="00F57FD8" w:rsidP="00E126BB">
            <w:pPr>
              <w:widowControl w:val="0"/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secretaria de control urbano e infraestructura </w:t>
            </w:r>
          </w:p>
        </w:tc>
        <w:tc>
          <w:tcPr>
            <w:tcW w:w="2835" w:type="dxa"/>
          </w:tcPr>
          <w:p w14:paraId="05CB7231" w14:textId="77777777" w:rsidR="00F57FD8" w:rsidRDefault="00F57FD8" w:rsidP="00E126BB">
            <w:pPr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Licencias de construcción</w:t>
            </w:r>
          </w:p>
        </w:tc>
        <w:tc>
          <w:tcPr>
            <w:tcW w:w="4890" w:type="dxa"/>
          </w:tcPr>
          <w:p w14:paraId="68E8871B" w14:textId="77777777" w:rsidR="00F57FD8" w:rsidRDefault="00F57FD8" w:rsidP="00E126BB">
            <w:pPr>
              <w:ind w:hanging="2"/>
              <w:jc w:val="center"/>
            </w:pPr>
          </w:p>
          <w:p w14:paraId="3B9417B0" w14:textId="77777777" w:rsidR="00F57FD8" w:rsidRDefault="00F57FD8" w:rsidP="00E126BB">
            <w:pPr>
              <w:ind w:hanging="2"/>
              <w:jc w:val="center"/>
              <w:rPr>
                <w:sz w:val="16"/>
                <w:szCs w:val="16"/>
              </w:rPr>
            </w:pPr>
            <w:r>
              <w:t>Lineamientos para la operación de cada proceso</w:t>
            </w:r>
          </w:p>
        </w:tc>
      </w:tr>
      <w:tr w:rsidR="00F57FD8" w14:paraId="6035694A" w14:textId="77777777" w:rsidTr="00F57FD8">
        <w:trPr>
          <w:cantSplit/>
          <w:trHeight w:val="1545"/>
        </w:trPr>
        <w:tc>
          <w:tcPr>
            <w:tcW w:w="2955" w:type="dxa"/>
          </w:tcPr>
          <w:p w14:paraId="6B33D87B" w14:textId="77777777" w:rsidR="00F57FD8" w:rsidRDefault="00F57FD8" w:rsidP="00E126BB">
            <w:pPr>
              <w:widowControl w:val="0"/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t>Usuarios</w:t>
            </w:r>
          </w:p>
        </w:tc>
        <w:tc>
          <w:tcPr>
            <w:tcW w:w="2835" w:type="dxa"/>
          </w:tcPr>
          <w:p w14:paraId="3F04DF78" w14:textId="77777777" w:rsidR="00F57FD8" w:rsidRDefault="00F57FD8" w:rsidP="00E126BB">
            <w:pPr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Necesidades y expectativas del usuario</w:t>
            </w:r>
          </w:p>
          <w:p w14:paraId="38FDD0F1" w14:textId="4CB3AD6F" w:rsidR="00F57FD8" w:rsidRPr="00F57FD8" w:rsidRDefault="00F57FD8" w:rsidP="00F57FD8">
            <w:pPr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Información para la prestación del servicio</w:t>
            </w:r>
          </w:p>
        </w:tc>
        <w:tc>
          <w:tcPr>
            <w:tcW w:w="4890" w:type="dxa"/>
          </w:tcPr>
          <w:p w14:paraId="7C4578ED" w14:textId="77777777" w:rsidR="00F57FD8" w:rsidRDefault="00F57FD8" w:rsidP="00E126BB">
            <w:pPr>
              <w:ind w:hanging="2"/>
              <w:jc w:val="center"/>
            </w:pPr>
            <w:r>
              <w:t>Control de legalidad</w:t>
            </w:r>
          </w:p>
          <w:p w14:paraId="103D11F7" w14:textId="77777777" w:rsidR="00F57FD8" w:rsidRDefault="00F57FD8" w:rsidP="00E126BB">
            <w:pPr>
              <w:ind w:hanging="2"/>
              <w:jc w:val="center"/>
            </w:pPr>
          </w:p>
        </w:tc>
      </w:tr>
    </w:tbl>
    <w:p w14:paraId="56BB4E59" w14:textId="4636C53E" w:rsidR="00F57FD8" w:rsidRDefault="00F57FD8"/>
    <w:tbl>
      <w:tblPr>
        <w:tblW w:w="10980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15"/>
        <w:gridCol w:w="6465"/>
      </w:tblGrid>
      <w:tr w:rsidR="00F57FD8" w14:paraId="2423BBC0" w14:textId="77777777" w:rsidTr="00E126BB">
        <w:trPr>
          <w:trHeight w:val="300"/>
          <w:tblHeader/>
        </w:trPr>
        <w:tc>
          <w:tcPr>
            <w:tcW w:w="2700" w:type="dxa"/>
            <w:shd w:val="clear" w:color="auto" w:fill="FF0000"/>
            <w:vAlign w:val="center"/>
          </w:tcPr>
          <w:p w14:paraId="1E217014" w14:textId="77777777" w:rsidR="00F57FD8" w:rsidRDefault="00F57FD8" w:rsidP="00E126BB">
            <w:pPr>
              <w:spacing w:before="60" w:after="60"/>
              <w:ind w:hanging="2"/>
              <w:jc w:val="center"/>
            </w:pPr>
            <w:r>
              <w:rPr>
                <w:b/>
              </w:rPr>
              <w:t>ACTIVIDADES</w:t>
            </w:r>
          </w:p>
        </w:tc>
        <w:tc>
          <w:tcPr>
            <w:tcW w:w="1815" w:type="dxa"/>
            <w:shd w:val="clear" w:color="auto" w:fill="FF0000"/>
            <w:vAlign w:val="center"/>
          </w:tcPr>
          <w:p w14:paraId="03D57208" w14:textId="77777777" w:rsidR="00F57FD8" w:rsidRDefault="00F57FD8" w:rsidP="00E126BB">
            <w:pPr>
              <w:spacing w:before="60" w:after="60"/>
              <w:ind w:hanging="2"/>
              <w:jc w:val="center"/>
            </w:pPr>
            <w:r>
              <w:rPr>
                <w:b/>
              </w:rPr>
              <w:t>RESPONSABLE</w:t>
            </w:r>
          </w:p>
        </w:tc>
        <w:tc>
          <w:tcPr>
            <w:tcW w:w="6465" w:type="dxa"/>
            <w:shd w:val="clear" w:color="auto" w:fill="FF0000"/>
            <w:vAlign w:val="center"/>
          </w:tcPr>
          <w:p w14:paraId="2E844A50" w14:textId="77777777" w:rsidR="00F57FD8" w:rsidRDefault="00F57FD8" w:rsidP="00E126BB">
            <w:pPr>
              <w:spacing w:before="60" w:after="60"/>
              <w:ind w:hanging="2"/>
              <w:jc w:val="center"/>
            </w:pPr>
            <w:r>
              <w:rPr>
                <w:b/>
              </w:rPr>
              <w:t>DESCRIPCIÓN</w:t>
            </w:r>
          </w:p>
        </w:tc>
      </w:tr>
      <w:tr w:rsidR="00F57FD8" w14:paraId="0BB697AF" w14:textId="77777777" w:rsidTr="00E126BB">
        <w:trPr>
          <w:trHeight w:val="301"/>
        </w:trPr>
        <w:tc>
          <w:tcPr>
            <w:tcW w:w="2700" w:type="dxa"/>
            <w:vAlign w:val="center"/>
          </w:tcPr>
          <w:p w14:paraId="09E682AE" w14:textId="77777777" w:rsidR="00F57FD8" w:rsidRDefault="00F57FD8" w:rsidP="00E126BB">
            <w:pPr>
              <w:ind w:hanging="2"/>
              <w:jc w:val="center"/>
            </w:pPr>
            <w:r>
              <w:t>Definir Plan Estratégico</w:t>
            </w:r>
          </w:p>
          <w:p w14:paraId="6B2FFD16" w14:textId="77777777" w:rsidR="00F57FD8" w:rsidRDefault="00F57FD8" w:rsidP="00E126BB">
            <w:pPr>
              <w:ind w:hanging="2"/>
              <w:jc w:val="center"/>
            </w:pPr>
          </w:p>
        </w:tc>
        <w:tc>
          <w:tcPr>
            <w:tcW w:w="1815" w:type="dxa"/>
            <w:vAlign w:val="center"/>
          </w:tcPr>
          <w:p w14:paraId="2B0D37D2" w14:textId="77777777" w:rsidR="00F57FD8" w:rsidRDefault="00F57FD8" w:rsidP="00E126BB">
            <w:pPr>
              <w:ind w:hanging="2"/>
              <w:jc w:val="center"/>
            </w:pPr>
            <w:r>
              <w:t>Notario</w:t>
            </w:r>
          </w:p>
        </w:tc>
        <w:tc>
          <w:tcPr>
            <w:tcW w:w="6465" w:type="dxa"/>
          </w:tcPr>
          <w:p w14:paraId="35232C76" w14:textId="365E6121" w:rsidR="00F57FD8" w:rsidRDefault="00F57FD8" w:rsidP="00E126BB">
            <w:pPr>
              <w:ind w:hanging="2"/>
            </w:pPr>
            <w:r>
              <w:t xml:space="preserve">Cada año y de acuerdo con los cambios presentados a nivel interno y </w:t>
            </w:r>
            <w:r w:rsidR="00FA2036">
              <w:t>externo se</w:t>
            </w:r>
            <w:r>
              <w:t xml:space="preserve"> actualiza el Plan Estratégico el cual Incluye por lo menos la siguiente información:</w:t>
            </w:r>
          </w:p>
          <w:p w14:paraId="216D750C" w14:textId="77777777" w:rsidR="00F57FD8" w:rsidRDefault="00F57FD8" w:rsidP="00E126BB">
            <w:pPr>
              <w:ind w:hanging="2"/>
            </w:pPr>
            <w:r>
              <w:t>-Misión</w:t>
            </w:r>
          </w:p>
          <w:p w14:paraId="7F302074" w14:textId="77777777" w:rsidR="00F57FD8" w:rsidRDefault="00F57FD8" w:rsidP="00E126BB">
            <w:pPr>
              <w:ind w:hanging="2"/>
            </w:pPr>
            <w:r>
              <w:t>-Visión</w:t>
            </w:r>
          </w:p>
          <w:p w14:paraId="7459ECD6" w14:textId="77777777" w:rsidR="00F57FD8" w:rsidRDefault="00F57FD8" w:rsidP="00E126BB">
            <w:pPr>
              <w:ind w:hanging="2"/>
            </w:pPr>
            <w:r>
              <w:t>-Política de calidad</w:t>
            </w:r>
          </w:p>
          <w:p w14:paraId="38DFC0C2" w14:textId="77777777" w:rsidR="00F57FD8" w:rsidRDefault="00F57FD8" w:rsidP="00E126BB">
            <w:pPr>
              <w:ind w:hanging="2"/>
            </w:pPr>
            <w:bookmarkStart w:id="0" w:name="_heading=h.3znysh7" w:colFirst="0" w:colLast="0"/>
            <w:bookmarkEnd w:id="0"/>
            <w:r>
              <w:t>-Objetivos Estratégicos</w:t>
            </w:r>
            <w:r>
              <w:br/>
            </w:r>
          </w:p>
          <w:p w14:paraId="49C0FCFF" w14:textId="45E0963E" w:rsidR="00F57FD8" w:rsidRDefault="00F57FD8" w:rsidP="00F57FD8">
            <w:pPr>
              <w:ind w:hanging="2"/>
            </w:pPr>
            <w:bookmarkStart w:id="1" w:name="_heading=h.2et92p0" w:colFirst="0" w:colLast="0"/>
            <w:bookmarkEnd w:id="1"/>
            <w:r>
              <w:t xml:space="preserve">-Mapa de Procesos </w:t>
            </w:r>
          </w:p>
        </w:tc>
      </w:tr>
      <w:tr w:rsidR="00F57FD8" w14:paraId="527C7E5B" w14:textId="77777777" w:rsidTr="00E126BB">
        <w:trPr>
          <w:trHeight w:val="1120"/>
        </w:trPr>
        <w:tc>
          <w:tcPr>
            <w:tcW w:w="2700" w:type="dxa"/>
            <w:vAlign w:val="center"/>
          </w:tcPr>
          <w:p w14:paraId="72A081A0" w14:textId="77777777" w:rsidR="00F57FD8" w:rsidRDefault="00F57FD8" w:rsidP="00E126BB">
            <w:pPr>
              <w:ind w:hanging="2"/>
              <w:jc w:val="center"/>
            </w:pPr>
          </w:p>
          <w:p w14:paraId="1299BDB4" w14:textId="77777777" w:rsidR="00F57FD8" w:rsidRDefault="00F57FD8" w:rsidP="00E126BB">
            <w:pPr>
              <w:ind w:hanging="2"/>
              <w:jc w:val="center"/>
            </w:pPr>
            <w:r>
              <w:t>Planear los procesos y la Operación</w:t>
            </w:r>
          </w:p>
        </w:tc>
        <w:tc>
          <w:tcPr>
            <w:tcW w:w="1815" w:type="dxa"/>
            <w:vAlign w:val="center"/>
          </w:tcPr>
          <w:p w14:paraId="2F0F6F7E" w14:textId="77777777" w:rsidR="00F57FD8" w:rsidRDefault="00F57FD8" w:rsidP="00E126BB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14:paraId="7E350B16" w14:textId="77777777" w:rsidR="00F57FD8" w:rsidRDefault="00F57FD8" w:rsidP="00E126BB">
            <w:pPr>
              <w:ind w:hanging="2"/>
            </w:pPr>
            <w:r>
              <w:t>Con base en los objetivos y estrategias definidos, cada líder de proceso junto con su equipo de trabajo define las actividades a desarrollar para su logro.</w:t>
            </w:r>
          </w:p>
          <w:p w14:paraId="53F754C9" w14:textId="77777777" w:rsidR="00F57FD8" w:rsidRDefault="00F57FD8" w:rsidP="00E126BB">
            <w:pPr>
              <w:ind w:hanging="2"/>
            </w:pPr>
          </w:p>
        </w:tc>
      </w:tr>
      <w:tr w:rsidR="00F57FD8" w14:paraId="07D256CF" w14:textId="77777777" w:rsidTr="00E126BB">
        <w:trPr>
          <w:trHeight w:val="671"/>
        </w:trPr>
        <w:tc>
          <w:tcPr>
            <w:tcW w:w="2700" w:type="dxa"/>
            <w:vAlign w:val="center"/>
          </w:tcPr>
          <w:p w14:paraId="0D085303" w14:textId="77777777" w:rsidR="00F57FD8" w:rsidRDefault="00F57FD8" w:rsidP="00E126BB">
            <w:pPr>
              <w:ind w:hanging="2"/>
              <w:jc w:val="center"/>
            </w:pPr>
            <w:r>
              <w:lastRenderedPageBreak/>
              <w:t>Difundir Plan estratégico</w:t>
            </w:r>
          </w:p>
        </w:tc>
        <w:tc>
          <w:tcPr>
            <w:tcW w:w="1815" w:type="dxa"/>
            <w:vAlign w:val="center"/>
          </w:tcPr>
          <w:p w14:paraId="1365476D" w14:textId="77777777" w:rsidR="00F57FD8" w:rsidRDefault="00F57FD8" w:rsidP="00E126BB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14:paraId="2F71CFF4" w14:textId="77777777" w:rsidR="00F57FD8" w:rsidRDefault="00F57FD8" w:rsidP="00E126BB">
            <w:pPr>
              <w:ind w:hanging="2"/>
            </w:pPr>
            <w:r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 w14:paraId="3C4395B0" w14:textId="77777777" w:rsidR="00F57FD8" w:rsidRDefault="00F57FD8" w:rsidP="00E126BB">
            <w:pPr>
              <w:ind w:hanging="2"/>
            </w:pPr>
          </w:p>
        </w:tc>
      </w:tr>
      <w:tr w:rsidR="00F57FD8" w14:paraId="1B36CD7F" w14:textId="77777777" w:rsidTr="00E126BB">
        <w:trPr>
          <w:trHeight w:val="704"/>
        </w:trPr>
        <w:tc>
          <w:tcPr>
            <w:tcW w:w="2700" w:type="dxa"/>
          </w:tcPr>
          <w:p w14:paraId="2B58FCD2" w14:textId="77777777" w:rsidR="00F57FD8" w:rsidRDefault="00F57FD8" w:rsidP="00E126BB">
            <w:pPr>
              <w:ind w:hanging="2"/>
              <w:jc w:val="center"/>
            </w:pPr>
          </w:p>
          <w:p w14:paraId="0FE7D1EB" w14:textId="77777777" w:rsidR="00F57FD8" w:rsidRDefault="00F57FD8" w:rsidP="00E126BB">
            <w:pPr>
              <w:ind w:hanging="2"/>
              <w:jc w:val="center"/>
            </w:pPr>
            <w:r>
              <w:t>Ejecutar estrategias</w:t>
            </w:r>
          </w:p>
          <w:p w14:paraId="4B6CDEBD" w14:textId="77777777" w:rsidR="00F57FD8" w:rsidRDefault="00F57FD8" w:rsidP="00E126BB">
            <w:pPr>
              <w:ind w:hanging="2"/>
              <w:jc w:val="center"/>
            </w:pPr>
          </w:p>
        </w:tc>
        <w:tc>
          <w:tcPr>
            <w:tcW w:w="1815" w:type="dxa"/>
          </w:tcPr>
          <w:p w14:paraId="2AA9E59C" w14:textId="77777777" w:rsidR="00F57FD8" w:rsidRDefault="00F57FD8" w:rsidP="00E126BB">
            <w:pPr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14:paraId="52DA4931" w14:textId="77777777" w:rsidR="00F57FD8" w:rsidRDefault="00F57FD8" w:rsidP="00E126BB">
            <w:pPr>
              <w:spacing w:before="60" w:after="60"/>
              <w:ind w:hanging="2"/>
            </w:pPr>
            <w:r>
              <w:t>Cada líder de proceso es responsable de ejecutar las estrategias y actividades definidas.</w:t>
            </w:r>
          </w:p>
        </w:tc>
      </w:tr>
      <w:tr w:rsidR="00F57FD8" w14:paraId="1DE0A16D" w14:textId="77777777" w:rsidTr="00E126BB">
        <w:trPr>
          <w:trHeight w:val="301"/>
        </w:trPr>
        <w:tc>
          <w:tcPr>
            <w:tcW w:w="2700" w:type="dxa"/>
          </w:tcPr>
          <w:p w14:paraId="72E1304A" w14:textId="77777777" w:rsidR="00F57FD8" w:rsidRDefault="00F57FD8" w:rsidP="00E126BB">
            <w:pPr>
              <w:ind w:hanging="2"/>
              <w:jc w:val="center"/>
            </w:pPr>
          </w:p>
          <w:p w14:paraId="44067AA6" w14:textId="77777777" w:rsidR="00F57FD8" w:rsidRDefault="00F57FD8" w:rsidP="00E126BB">
            <w:pPr>
              <w:ind w:hanging="2"/>
              <w:jc w:val="center"/>
            </w:pPr>
            <w:r>
              <w:t>Hacer Seguimiento</w:t>
            </w:r>
          </w:p>
        </w:tc>
        <w:tc>
          <w:tcPr>
            <w:tcW w:w="1815" w:type="dxa"/>
            <w:vAlign w:val="center"/>
          </w:tcPr>
          <w:p w14:paraId="479BFE35" w14:textId="77777777" w:rsidR="00F57FD8" w:rsidRDefault="00F57FD8" w:rsidP="00E126BB">
            <w:pPr>
              <w:ind w:hanging="2"/>
              <w:jc w:val="center"/>
            </w:pPr>
            <w:r>
              <w:t>Comité Operativo.</w:t>
            </w:r>
          </w:p>
        </w:tc>
        <w:tc>
          <w:tcPr>
            <w:tcW w:w="6465" w:type="dxa"/>
          </w:tcPr>
          <w:p w14:paraId="4674112B" w14:textId="77777777" w:rsidR="00F57FD8" w:rsidRDefault="00F57FD8" w:rsidP="00E126BB">
            <w:pPr>
              <w:spacing w:before="60" w:after="60"/>
              <w:ind w:hanging="2"/>
            </w:pPr>
            <w:r>
              <w:t>Se hace seguimiento a las actividades en el comité operativo tal como se establece en las condiciones generales del presente documento.</w:t>
            </w:r>
          </w:p>
          <w:p w14:paraId="6DC37742" w14:textId="77777777" w:rsidR="00F57FD8" w:rsidRDefault="00F57FD8" w:rsidP="00E126BB">
            <w:pPr>
              <w:spacing w:before="60" w:after="60"/>
              <w:ind w:hanging="2"/>
            </w:pPr>
          </w:p>
          <w:p w14:paraId="7EC31A9B" w14:textId="77777777" w:rsidR="00F57FD8" w:rsidRDefault="00F57FD8" w:rsidP="00E126BB">
            <w:pPr>
              <w:spacing w:before="60" w:after="60"/>
              <w:ind w:hanging="2"/>
            </w:pPr>
          </w:p>
        </w:tc>
      </w:tr>
      <w:tr w:rsidR="00F57FD8" w14:paraId="34980780" w14:textId="77777777" w:rsidTr="00E126BB">
        <w:trPr>
          <w:trHeight w:val="301"/>
        </w:trPr>
        <w:tc>
          <w:tcPr>
            <w:tcW w:w="2700" w:type="dxa"/>
            <w:vAlign w:val="center"/>
          </w:tcPr>
          <w:p w14:paraId="4D9D827A" w14:textId="77777777" w:rsidR="00F57FD8" w:rsidRDefault="00F57FD8" w:rsidP="00E126BB">
            <w:pPr>
              <w:ind w:hanging="2"/>
              <w:jc w:val="center"/>
            </w:pPr>
            <w:r>
              <w:t>Hacer seguimiento a la Estrategia</w:t>
            </w:r>
          </w:p>
        </w:tc>
        <w:tc>
          <w:tcPr>
            <w:tcW w:w="1815" w:type="dxa"/>
            <w:vAlign w:val="center"/>
          </w:tcPr>
          <w:p w14:paraId="2EA35EC9" w14:textId="77777777" w:rsidR="00F57FD8" w:rsidRDefault="00F57FD8" w:rsidP="00E126BB">
            <w:pPr>
              <w:ind w:hanging="2"/>
              <w:jc w:val="center"/>
            </w:pPr>
            <w:r>
              <w:t>Comité estratégico.</w:t>
            </w:r>
          </w:p>
        </w:tc>
        <w:tc>
          <w:tcPr>
            <w:tcW w:w="6465" w:type="dxa"/>
          </w:tcPr>
          <w:p w14:paraId="4C77FE0A" w14:textId="77777777" w:rsidR="00F57FD8" w:rsidRDefault="00F57FD8" w:rsidP="00E126BB">
            <w:pPr>
              <w:spacing w:before="60" w:after="60"/>
              <w:ind w:hanging="2"/>
            </w:pPr>
            <w:r>
              <w:t>Se hace seguimiento al Plan Estratégico en el comité estratégico.</w:t>
            </w:r>
          </w:p>
          <w:p w14:paraId="3259A83D" w14:textId="77777777" w:rsidR="00F57FD8" w:rsidRDefault="00F57FD8" w:rsidP="00E126BB">
            <w:pPr>
              <w:spacing w:before="60" w:after="60"/>
              <w:ind w:hanging="2"/>
            </w:pPr>
          </w:p>
        </w:tc>
      </w:tr>
      <w:tr w:rsidR="00F57FD8" w14:paraId="6E7EBD22" w14:textId="77777777" w:rsidTr="00E126BB">
        <w:trPr>
          <w:trHeight w:val="301"/>
        </w:trPr>
        <w:tc>
          <w:tcPr>
            <w:tcW w:w="2700" w:type="dxa"/>
            <w:vAlign w:val="center"/>
          </w:tcPr>
          <w:p w14:paraId="47647D16" w14:textId="77777777" w:rsidR="00F57FD8" w:rsidRDefault="00F57FD8" w:rsidP="00E126BB">
            <w:pPr>
              <w:ind w:hanging="2"/>
              <w:jc w:val="center"/>
            </w:pPr>
            <w:r>
              <w:t>Planear las entradas para la Revisión por la dirección</w:t>
            </w:r>
          </w:p>
        </w:tc>
        <w:tc>
          <w:tcPr>
            <w:tcW w:w="1815" w:type="dxa"/>
            <w:vAlign w:val="center"/>
          </w:tcPr>
          <w:p w14:paraId="751F88AF" w14:textId="77777777" w:rsidR="00F57FD8" w:rsidRDefault="00F57FD8" w:rsidP="00E126BB">
            <w:pPr>
              <w:ind w:hanging="2"/>
              <w:jc w:val="center"/>
            </w:pPr>
            <w:r>
              <w:t>Líder del proceso de Gestión Estratégica Y Líderes de procesos.</w:t>
            </w:r>
          </w:p>
        </w:tc>
        <w:tc>
          <w:tcPr>
            <w:tcW w:w="6465" w:type="dxa"/>
            <w:vAlign w:val="center"/>
          </w:tcPr>
          <w:p w14:paraId="55CB9DA8" w14:textId="4F93D4AC" w:rsidR="00F57FD8" w:rsidRDefault="00F57FD8" w:rsidP="00E126BB">
            <w:pPr>
              <w:ind w:hanging="2"/>
            </w:pPr>
            <w:r>
              <w:t xml:space="preserve">Finalizando el año los líderes de proceso presentan a la Notaría </w:t>
            </w:r>
            <w:r w:rsidR="006061A0">
              <w:t>toda la</w:t>
            </w:r>
            <w:r>
              <w:t xml:space="preserve"> información necesaria para la revisión por la dirección y la evaluación de los logros alcanzados (estado de revisiones anteriores, resultados de auditorías, quejas y reclamos, informe de satisfacción del </w:t>
            </w:r>
            <w:r w:rsidR="00FA2036">
              <w:t>cliente, indicadores</w:t>
            </w:r>
            <w:r>
              <w:t xml:space="preserve"> e informes de gestión, acciones correctivas y preventivas, informe de revisión política y objetivos de calidad, cambios que podrían </w:t>
            </w:r>
            <w:r w:rsidR="00FA2036">
              <w:t>afectar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F6C0813" w14:textId="77777777" w:rsidR="00F57FD8" w:rsidRDefault="00F57FD8" w:rsidP="00E126BB">
            <w:pPr>
              <w:ind w:hanging="2"/>
            </w:pPr>
          </w:p>
        </w:tc>
      </w:tr>
      <w:tr w:rsidR="00F57FD8" w14:paraId="23F446A2" w14:textId="77777777" w:rsidTr="00E126BB">
        <w:trPr>
          <w:trHeight w:val="301"/>
        </w:trPr>
        <w:tc>
          <w:tcPr>
            <w:tcW w:w="2700" w:type="dxa"/>
            <w:vAlign w:val="center"/>
          </w:tcPr>
          <w:p w14:paraId="0F2AA17D" w14:textId="77777777" w:rsidR="00F57FD8" w:rsidRDefault="00F57FD8" w:rsidP="00E126BB">
            <w:pPr>
              <w:ind w:hanging="2"/>
              <w:jc w:val="center"/>
            </w:pPr>
            <w:r>
              <w:t>Realizar la Revisión general por la Dirección</w:t>
            </w:r>
          </w:p>
        </w:tc>
        <w:tc>
          <w:tcPr>
            <w:tcW w:w="1815" w:type="dxa"/>
            <w:vAlign w:val="center"/>
          </w:tcPr>
          <w:p w14:paraId="7181EDAE" w14:textId="77777777" w:rsidR="00F57FD8" w:rsidRDefault="00F57FD8" w:rsidP="00E126BB">
            <w:pPr>
              <w:ind w:hanging="2"/>
              <w:jc w:val="center"/>
            </w:pPr>
            <w:r>
              <w:t>Líder del proceso de Gestión Estratégica Líderes de procesos.</w:t>
            </w:r>
          </w:p>
        </w:tc>
        <w:tc>
          <w:tcPr>
            <w:tcW w:w="6465" w:type="dxa"/>
            <w:vAlign w:val="center"/>
          </w:tcPr>
          <w:p w14:paraId="20883209" w14:textId="77777777" w:rsidR="00F57FD8" w:rsidRDefault="00F57FD8" w:rsidP="00E126BB">
            <w:pPr>
              <w:ind w:hanging="2"/>
            </w:pPr>
            <w:r>
              <w:t xml:space="preserve">Se cita a reunión a los líderes de proceso, se hace la Revisión general del sistema de gestión. </w:t>
            </w:r>
          </w:p>
        </w:tc>
      </w:tr>
    </w:tbl>
    <w:p w14:paraId="6F1545BE" w14:textId="77777777" w:rsidR="00F57FD8" w:rsidRDefault="00F57FD8"/>
    <w:sectPr w:rsidR="00F57F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8A2B" w14:textId="77777777" w:rsidR="004D359D" w:rsidRDefault="004D359D" w:rsidP="00200F84">
      <w:pPr>
        <w:spacing w:after="0" w:line="240" w:lineRule="auto"/>
      </w:pPr>
      <w:r>
        <w:separator/>
      </w:r>
    </w:p>
  </w:endnote>
  <w:endnote w:type="continuationSeparator" w:id="0">
    <w:p w14:paraId="0E9C993B" w14:textId="77777777" w:rsidR="004D359D" w:rsidRDefault="004D359D" w:rsidP="0020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BD9C" w14:textId="77777777" w:rsidR="004D359D" w:rsidRDefault="004D359D" w:rsidP="00200F84">
      <w:pPr>
        <w:spacing w:after="0" w:line="240" w:lineRule="auto"/>
      </w:pPr>
      <w:r>
        <w:separator/>
      </w:r>
    </w:p>
  </w:footnote>
  <w:footnote w:type="continuationSeparator" w:id="0">
    <w:p w14:paraId="7B9A475F" w14:textId="77777777" w:rsidR="004D359D" w:rsidRDefault="004D359D" w:rsidP="0020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403"/>
      <w:gridCol w:w="7229"/>
    </w:tblGrid>
    <w:tr w:rsidR="00C86CCD" w14:paraId="6543156A" w14:textId="77777777" w:rsidTr="00F57FD8">
      <w:trPr>
        <w:trHeight w:val="1833"/>
      </w:trPr>
      <w:tc>
        <w:tcPr>
          <w:tcW w:w="3403" w:type="dxa"/>
        </w:tcPr>
        <w:p w14:paraId="2DBCF8FA" w14:textId="21B5F990" w:rsidR="00C86CCD" w:rsidRDefault="0065088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D33DD1E" wp14:editId="72932D62">
                <wp:simplePos x="0" y="0"/>
                <wp:positionH relativeFrom="column">
                  <wp:posOffset>334010</wp:posOffset>
                </wp:positionH>
                <wp:positionV relativeFrom="paragraph">
                  <wp:posOffset>121920</wp:posOffset>
                </wp:positionV>
                <wp:extent cx="894080" cy="781050"/>
                <wp:effectExtent l="0" t="0" r="1270" b="0"/>
                <wp:wrapTight wrapText="bothSides">
                  <wp:wrapPolygon edited="0">
                    <wp:start x="0" y="0"/>
                    <wp:lineTo x="0" y="21073"/>
                    <wp:lineTo x="21170" y="21073"/>
                    <wp:lineTo x="21170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10ACB100" w14:textId="77777777" w:rsidR="00650883" w:rsidRDefault="00650883" w:rsidP="00C86CCD">
          <w:pPr>
            <w:pStyle w:val="Encabezado"/>
            <w:jc w:val="center"/>
            <w:rPr>
              <w:rFonts w:ascii="Congenial Black" w:hAnsi="Congenial Black"/>
              <w:sz w:val="24"/>
              <w:szCs w:val="24"/>
            </w:rPr>
          </w:pPr>
        </w:p>
        <w:p w14:paraId="51CCBFFF" w14:textId="35B9EDA0" w:rsidR="00C86CCD" w:rsidRDefault="00C86CCD" w:rsidP="00C86CCD">
          <w:pPr>
            <w:pStyle w:val="Encabezado"/>
            <w:jc w:val="center"/>
            <w:rPr>
              <w:rFonts w:ascii="Baskerville Old Face" w:hAnsi="Baskerville Old Face"/>
              <w:sz w:val="32"/>
              <w:szCs w:val="32"/>
            </w:rPr>
          </w:pPr>
          <w:r w:rsidRPr="00650883">
            <w:rPr>
              <w:rFonts w:ascii="Baskerville Old Face" w:hAnsi="Baskerville Old Face"/>
              <w:sz w:val="32"/>
              <w:szCs w:val="32"/>
            </w:rPr>
            <w:t>GESTION DE SERVICIOS NOTARIALES</w:t>
          </w:r>
        </w:p>
        <w:p w14:paraId="38DDEAA4" w14:textId="77777777" w:rsidR="00650883" w:rsidRPr="00650883" w:rsidRDefault="00650883" w:rsidP="00C86CCD">
          <w:pPr>
            <w:pStyle w:val="Encabezado"/>
            <w:jc w:val="center"/>
            <w:rPr>
              <w:rFonts w:ascii="Baskerville Old Face" w:hAnsi="Baskerville Old Face"/>
              <w:sz w:val="32"/>
              <w:szCs w:val="32"/>
            </w:rPr>
          </w:pPr>
        </w:p>
        <w:p w14:paraId="45A85148" w14:textId="13E7CEDD" w:rsidR="00650883" w:rsidRPr="00650883" w:rsidRDefault="00650883" w:rsidP="00C86CCD">
          <w:pPr>
            <w:pStyle w:val="Encabezado"/>
            <w:jc w:val="center"/>
            <w:rPr>
              <w:rFonts w:ascii="Congenial Black" w:hAnsi="Congenial Black"/>
              <w:sz w:val="32"/>
              <w:szCs w:val="32"/>
            </w:rPr>
          </w:pPr>
          <w:r w:rsidRPr="00650883">
            <w:rPr>
              <w:rFonts w:ascii="Baskerville Old Face" w:hAnsi="Baskerville Old Face"/>
              <w:sz w:val="32"/>
              <w:szCs w:val="32"/>
            </w:rPr>
            <w:t>PROCESO DE GESTION ESTRATEGICA</w:t>
          </w:r>
        </w:p>
      </w:tc>
    </w:tr>
  </w:tbl>
  <w:p w14:paraId="3FC246BC" w14:textId="31BBE86A" w:rsidR="00200F84" w:rsidRDefault="00200F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5D3"/>
    <w:multiLevelType w:val="hybridMultilevel"/>
    <w:tmpl w:val="931C4092"/>
    <w:lvl w:ilvl="0" w:tplc="240A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3E21D0A"/>
    <w:multiLevelType w:val="multilevel"/>
    <w:tmpl w:val="641031A8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7D211C"/>
    <w:multiLevelType w:val="hybridMultilevel"/>
    <w:tmpl w:val="DB3880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3388"/>
    <w:multiLevelType w:val="multilevel"/>
    <w:tmpl w:val="6942A246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1BE02CC"/>
    <w:multiLevelType w:val="hybridMultilevel"/>
    <w:tmpl w:val="FB4C44A4"/>
    <w:lvl w:ilvl="0" w:tplc="6BCAC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A44EF"/>
    <w:multiLevelType w:val="hybridMultilevel"/>
    <w:tmpl w:val="8D92C5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32982">
    <w:abstractNumId w:val="4"/>
  </w:num>
  <w:num w:numId="2" w16cid:durableId="1424687445">
    <w:abstractNumId w:val="2"/>
  </w:num>
  <w:num w:numId="3" w16cid:durableId="92747910">
    <w:abstractNumId w:val="0"/>
  </w:num>
  <w:num w:numId="4" w16cid:durableId="515657318">
    <w:abstractNumId w:val="5"/>
  </w:num>
  <w:num w:numId="5" w16cid:durableId="1579706557">
    <w:abstractNumId w:val="3"/>
  </w:num>
  <w:num w:numId="6" w16cid:durableId="192873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84"/>
    <w:rsid w:val="000229B7"/>
    <w:rsid w:val="00034733"/>
    <w:rsid w:val="000F46D1"/>
    <w:rsid w:val="001744AB"/>
    <w:rsid w:val="00184FDA"/>
    <w:rsid w:val="001B487C"/>
    <w:rsid w:val="00200F84"/>
    <w:rsid w:val="00225009"/>
    <w:rsid w:val="00263400"/>
    <w:rsid w:val="00317DD3"/>
    <w:rsid w:val="0036285B"/>
    <w:rsid w:val="00386928"/>
    <w:rsid w:val="00422923"/>
    <w:rsid w:val="00430DCA"/>
    <w:rsid w:val="004D359D"/>
    <w:rsid w:val="005D3D6F"/>
    <w:rsid w:val="006061A0"/>
    <w:rsid w:val="00650883"/>
    <w:rsid w:val="0073394B"/>
    <w:rsid w:val="00947B41"/>
    <w:rsid w:val="009F23BA"/>
    <w:rsid w:val="00A5498C"/>
    <w:rsid w:val="00C0571A"/>
    <w:rsid w:val="00C86CCD"/>
    <w:rsid w:val="00CB32C6"/>
    <w:rsid w:val="00DA2BA9"/>
    <w:rsid w:val="00DC5444"/>
    <w:rsid w:val="00DF6725"/>
    <w:rsid w:val="00E21B1C"/>
    <w:rsid w:val="00E24F54"/>
    <w:rsid w:val="00EC6BE4"/>
    <w:rsid w:val="00F22EE9"/>
    <w:rsid w:val="00F57FD8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AA856"/>
  <w15:chartTrackingRefBased/>
  <w15:docId w15:val="{4BF16BD0-716E-44A9-9041-50BDF33E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F84"/>
  </w:style>
  <w:style w:type="paragraph" w:styleId="Piedepgina">
    <w:name w:val="footer"/>
    <w:basedOn w:val="Normal"/>
    <w:link w:val="PiedepginaCar"/>
    <w:uiPriority w:val="99"/>
    <w:unhideWhenUsed/>
    <w:rsid w:val="00200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F84"/>
  </w:style>
  <w:style w:type="table" w:styleId="Tablaconcuadrcula">
    <w:name w:val="Table Grid"/>
    <w:basedOn w:val="Tablanormal"/>
    <w:uiPriority w:val="39"/>
    <w:rsid w:val="0036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RAUL POLANIA FIERRO</dc:creator>
  <cp:keywords/>
  <dc:description/>
  <cp:lastModifiedBy>VICTOR RAUL POLANIA FIERRO</cp:lastModifiedBy>
  <cp:revision>4</cp:revision>
  <dcterms:created xsi:type="dcterms:W3CDTF">2022-09-20T17:21:00Z</dcterms:created>
  <dcterms:modified xsi:type="dcterms:W3CDTF">2022-09-26T14:54:00Z</dcterms:modified>
</cp:coreProperties>
</file>